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D1F8" w14:textId="7E35F863" w:rsidR="00E2136F" w:rsidRPr="005A6EE9" w:rsidRDefault="00F473A9" w:rsidP="0042163B">
      <w:pPr>
        <w:rPr>
          <w:b/>
          <w:bCs/>
          <w:color w:val="7C9310"/>
          <w:sz w:val="32"/>
          <w:szCs w:val="32"/>
        </w:rPr>
      </w:pPr>
      <w:r>
        <w:rPr>
          <w:b/>
          <w:bCs/>
          <w:color w:val="7C9310"/>
          <w:sz w:val="32"/>
          <w:szCs w:val="32"/>
        </w:rPr>
        <w:br/>
      </w:r>
      <w:r w:rsidR="0042163B" w:rsidRPr="005A6EE9">
        <w:rPr>
          <w:b/>
          <w:bCs/>
          <w:color w:val="7C9310"/>
          <w:sz w:val="32"/>
          <w:szCs w:val="32"/>
        </w:rPr>
        <w:t>Work Experience Employer Guide</w:t>
      </w:r>
      <w:r w:rsidR="005A6EE9">
        <w:rPr>
          <w:b/>
          <w:bCs/>
          <w:color w:val="7C9310"/>
          <w:sz w:val="32"/>
          <w:szCs w:val="32"/>
        </w:rPr>
        <w:br/>
      </w:r>
      <w:r w:rsidR="0042163B" w:rsidRPr="005A6EE9">
        <w:rPr>
          <w:b/>
          <w:bCs/>
          <w:color w:val="7C9310"/>
          <w:sz w:val="32"/>
          <w:szCs w:val="32"/>
        </w:rPr>
        <w:t>Supporting Young People to Build Future Skills</w:t>
      </w:r>
    </w:p>
    <w:p w14:paraId="3D9CA647" w14:textId="5FD7872F" w:rsidR="0042163B" w:rsidRPr="00E2136F" w:rsidRDefault="00E2136F" w:rsidP="0042163B">
      <w:r>
        <w:br/>
      </w:r>
      <w:r w:rsidR="0042163B" w:rsidRPr="005A6EE9">
        <w:rPr>
          <w:b/>
          <w:bCs/>
          <w:color w:val="7C9310"/>
          <w:sz w:val="24"/>
          <w:szCs w:val="24"/>
        </w:rPr>
        <w:t>Purpose of Work Experience</w:t>
      </w:r>
      <w:r w:rsidR="00B37374">
        <w:rPr>
          <w:b/>
          <w:bCs/>
          <w:color w:val="7C9310"/>
          <w:sz w:val="24"/>
          <w:szCs w:val="24"/>
        </w:rPr>
        <w:t>:</w:t>
      </w:r>
    </w:p>
    <w:p w14:paraId="512A6F17" w14:textId="34135DA9" w:rsidR="00E2136F" w:rsidRDefault="0042163B" w:rsidP="0042163B">
      <w:r w:rsidRPr="0042163B">
        <w:t>Work experience helps young people aged 14–24 explore career pathways, develop workplace confidence and build transferable skills. It provides employers with a chance to shape the future workforce and contribute to their community.</w:t>
      </w:r>
    </w:p>
    <w:p w14:paraId="5134E719" w14:textId="772EF770" w:rsidR="0042163B" w:rsidRPr="005A6EE9" w:rsidRDefault="00E2136F" w:rsidP="0042163B">
      <w:pPr>
        <w:rPr>
          <w:sz w:val="24"/>
          <w:szCs w:val="24"/>
        </w:rPr>
      </w:pPr>
      <w:r>
        <w:br/>
      </w:r>
      <w:r w:rsidR="0042163B" w:rsidRPr="005A6EE9">
        <w:rPr>
          <w:b/>
          <w:bCs/>
          <w:color w:val="7C9310"/>
          <w:sz w:val="24"/>
          <w:szCs w:val="24"/>
        </w:rPr>
        <w:t>Planning a Meaningful Placement</w:t>
      </w:r>
      <w:r w:rsidR="00B37374">
        <w:rPr>
          <w:b/>
          <w:bCs/>
          <w:color w:val="7C9310"/>
          <w:sz w:val="24"/>
          <w:szCs w:val="24"/>
        </w:rPr>
        <w:t>:</w:t>
      </w:r>
    </w:p>
    <w:p w14:paraId="7592912E" w14:textId="77777777" w:rsidR="0042163B" w:rsidRPr="00E2136F" w:rsidRDefault="0042163B" w:rsidP="0042163B">
      <w:pPr>
        <w:rPr>
          <w:color w:val="7C9310"/>
        </w:rPr>
      </w:pPr>
      <w:r w:rsidRPr="00E2136F">
        <w:rPr>
          <w:b/>
          <w:bCs/>
          <w:color w:val="7C9310"/>
        </w:rPr>
        <w:t>1. Get Organised Early</w:t>
      </w:r>
    </w:p>
    <w:p w14:paraId="12D88F85" w14:textId="57922BA6" w:rsidR="0042163B" w:rsidRDefault="0043791B" w:rsidP="0042163B">
      <w:pPr>
        <w:numPr>
          <w:ilvl w:val="0"/>
          <w:numId w:val="1"/>
        </w:numPr>
      </w:pPr>
      <w:r w:rsidRPr="00F7192B">
        <w:t>Employers provide their available placement dates to the school or training provider, who then coordinate the placement directly with the student</w:t>
      </w:r>
      <w:r>
        <w:t xml:space="preserve"> </w:t>
      </w:r>
      <w:r w:rsidR="00AB5D51">
        <w:t>to</w:t>
      </w:r>
      <w:r w:rsidR="00E2136F" w:rsidRPr="00E2136F">
        <w:t xml:space="preserve"> ensure there are no conflicts with </w:t>
      </w:r>
      <w:r>
        <w:t>other</w:t>
      </w:r>
      <w:r w:rsidR="00E2136F" w:rsidRPr="00E2136F">
        <w:t xml:space="preserve"> </w:t>
      </w:r>
      <w:r w:rsidR="00E2136F">
        <w:t>commitments</w:t>
      </w:r>
      <w:r w:rsidR="00E2136F" w:rsidRPr="00E2136F">
        <w:t xml:space="preserve"> e.g. work, family, sports</w:t>
      </w:r>
      <w:r>
        <w:t xml:space="preserve"> </w:t>
      </w:r>
    </w:p>
    <w:p w14:paraId="0C08BD74" w14:textId="19D564CD" w:rsidR="0043791B" w:rsidRPr="0043791B" w:rsidRDefault="0043791B" w:rsidP="0043791B">
      <w:pPr>
        <w:numPr>
          <w:ilvl w:val="0"/>
          <w:numId w:val="1"/>
        </w:numPr>
      </w:pPr>
      <w:r w:rsidRPr="0043791B">
        <w:t>Confirm that insurance arrangements are in place</w:t>
      </w:r>
      <w:r w:rsidRPr="004F4B77">
        <w:t>, either through the school or training provider. If not, discuss how this will be managed before the placement begins</w:t>
      </w:r>
    </w:p>
    <w:p w14:paraId="38A08A48" w14:textId="42C0CB6F" w:rsidR="0043791B" w:rsidRPr="0043791B" w:rsidRDefault="0043791B" w:rsidP="0043791B">
      <w:pPr>
        <w:numPr>
          <w:ilvl w:val="0"/>
          <w:numId w:val="1"/>
        </w:numPr>
      </w:pPr>
      <w:r w:rsidRPr="0043791B">
        <w:t>E</w:t>
      </w:r>
      <w:r w:rsidR="00427377">
        <w:t>mployers to e</w:t>
      </w:r>
      <w:r w:rsidRPr="0043791B">
        <w:t>nsure all staff who will have direct contact with a work experience participant (if under 18) holds a valid Working with Children Clearance</w:t>
      </w:r>
      <w:r w:rsidRPr="004F4B77">
        <w:t xml:space="preserve">, unless exempt under NT legislation: </w:t>
      </w:r>
      <w:hyperlink r:id="rId7" w:tgtFrame="_new" w:history="1">
        <w:r w:rsidRPr="004F4B77">
          <w:rPr>
            <w:rStyle w:val="Hyperlink"/>
            <w:rFonts w:eastAsiaTheme="majorEastAsia"/>
          </w:rPr>
          <w:t>People who do not need clearance</w:t>
        </w:r>
      </w:hyperlink>
    </w:p>
    <w:p w14:paraId="2C6482F9" w14:textId="458362ED" w:rsidR="0042163B" w:rsidRPr="0042163B" w:rsidRDefault="0042163B" w:rsidP="0042163B">
      <w:pPr>
        <w:numPr>
          <w:ilvl w:val="0"/>
          <w:numId w:val="1"/>
        </w:numPr>
      </w:pPr>
      <w:r w:rsidRPr="0042163B">
        <w:t xml:space="preserve">Nominate a </w:t>
      </w:r>
      <w:r w:rsidR="00AB5D51">
        <w:t xml:space="preserve">workplace </w:t>
      </w:r>
      <w:r w:rsidRPr="0042163B">
        <w:t>supervisor or mentor</w:t>
      </w:r>
    </w:p>
    <w:p w14:paraId="27014893" w14:textId="77777777" w:rsidR="0042163B" w:rsidRDefault="0042163B" w:rsidP="0042163B">
      <w:pPr>
        <w:numPr>
          <w:ilvl w:val="0"/>
          <w:numId w:val="1"/>
        </w:numPr>
      </w:pPr>
      <w:r w:rsidRPr="0042163B">
        <w:t>Prepare a simple task schedule or timetable</w:t>
      </w:r>
    </w:p>
    <w:p w14:paraId="5AB3BED6" w14:textId="77777777" w:rsidR="00427377" w:rsidRDefault="00427377" w:rsidP="00427377">
      <w:pPr>
        <w:numPr>
          <w:ilvl w:val="0"/>
          <w:numId w:val="1"/>
        </w:numPr>
        <w:spacing w:line="256" w:lineRule="auto"/>
      </w:pPr>
      <w:r>
        <w:t xml:space="preserve">Prepare the first day induction </w:t>
      </w:r>
    </w:p>
    <w:p w14:paraId="3CAD0177" w14:textId="6DB4C77A" w:rsidR="00427377" w:rsidRDefault="00427377" w:rsidP="00427377">
      <w:pPr>
        <w:numPr>
          <w:ilvl w:val="0"/>
          <w:numId w:val="1"/>
        </w:numPr>
        <w:spacing w:line="256" w:lineRule="auto"/>
      </w:pPr>
      <w:r>
        <w:t xml:space="preserve">Arrange workstation, IT, equipment and building access </w:t>
      </w:r>
    </w:p>
    <w:p w14:paraId="27AC3F7D" w14:textId="03F42939" w:rsidR="00427377" w:rsidRPr="0042163B" w:rsidRDefault="00427377" w:rsidP="00427377">
      <w:pPr>
        <w:numPr>
          <w:ilvl w:val="0"/>
          <w:numId w:val="1"/>
        </w:numPr>
        <w:spacing w:line="256" w:lineRule="auto"/>
      </w:pPr>
      <w:r>
        <w:t xml:space="preserve">Let all staff members know about the upcoming work experience and their expectations </w:t>
      </w:r>
    </w:p>
    <w:p w14:paraId="7749F921" w14:textId="77777777" w:rsidR="0042163B" w:rsidRPr="00E2136F" w:rsidRDefault="0042163B" w:rsidP="0042163B">
      <w:pPr>
        <w:rPr>
          <w:b/>
          <w:bCs/>
          <w:color w:val="7C9310"/>
        </w:rPr>
      </w:pPr>
      <w:r w:rsidRPr="00E2136F">
        <w:rPr>
          <w:b/>
          <w:bCs/>
          <w:color w:val="7C9310"/>
        </w:rPr>
        <w:t>2. Design Inclusive, Realistic Activities</w:t>
      </w:r>
    </w:p>
    <w:p w14:paraId="6BE75CFF" w14:textId="06D5D0C3" w:rsidR="0042163B" w:rsidRPr="0042163B" w:rsidRDefault="0042163B" w:rsidP="0042163B">
      <w:pPr>
        <w:numPr>
          <w:ilvl w:val="0"/>
          <w:numId w:val="2"/>
        </w:numPr>
      </w:pPr>
      <w:r w:rsidRPr="0042163B">
        <w:t>Assign varied, age- and skill-appropriate tasks</w:t>
      </w:r>
      <w:r w:rsidR="00AB5D51">
        <w:t xml:space="preserve"> that can keep the student engaged throughout their placement</w:t>
      </w:r>
      <w:r w:rsidR="0043791B">
        <w:t>. Depending on the workplace and role, this may be observation only.</w:t>
      </w:r>
    </w:p>
    <w:p w14:paraId="25E7A623" w14:textId="6286AC6E" w:rsidR="0042163B" w:rsidRPr="0042163B" w:rsidRDefault="0043791B" w:rsidP="0042163B">
      <w:pPr>
        <w:numPr>
          <w:ilvl w:val="0"/>
          <w:numId w:val="2"/>
        </w:numPr>
      </w:pPr>
      <w:r>
        <w:t>If possible, i</w:t>
      </w:r>
      <w:r w:rsidR="0042163B" w:rsidRPr="0042163B">
        <w:t>ntroduce a small project they can contribute to across the week</w:t>
      </w:r>
    </w:p>
    <w:p w14:paraId="42DD5E29" w14:textId="10A2CE40" w:rsidR="0042163B" w:rsidRPr="0042163B" w:rsidRDefault="0042163B" w:rsidP="0042163B">
      <w:pPr>
        <w:numPr>
          <w:ilvl w:val="0"/>
          <w:numId w:val="2"/>
        </w:numPr>
      </w:pPr>
      <w:r w:rsidRPr="0042163B">
        <w:t>Encourage teamwork, communication and observation of different roles</w:t>
      </w:r>
    </w:p>
    <w:p w14:paraId="417235BE" w14:textId="50CF1988" w:rsidR="0042163B" w:rsidRPr="0042163B" w:rsidRDefault="0042163B" w:rsidP="0042163B">
      <w:pPr>
        <w:numPr>
          <w:ilvl w:val="0"/>
          <w:numId w:val="2"/>
        </w:numPr>
      </w:pPr>
      <w:r w:rsidRPr="0042163B">
        <w:t>Allow space for learning, mistakes and questions</w:t>
      </w:r>
    </w:p>
    <w:p w14:paraId="5584949C" w14:textId="77777777" w:rsidR="0042163B" w:rsidRPr="00E2136F" w:rsidRDefault="0042163B" w:rsidP="0042163B">
      <w:pPr>
        <w:rPr>
          <w:b/>
          <w:bCs/>
          <w:color w:val="7C9310"/>
        </w:rPr>
      </w:pPr>
      <w:r w:rsidRPr="00E2136F">
        <w:rPr>
          <w:b/>
          <w:bCs/>
          <w:color w:val="7C9310"/>
        </w:rPr>
        <w:t>3. Support and Supervise Well</w:t>
      </w:r>
    </w:p>
    <w:p w14:paraId="5A4615AA" w14:textId="77777777" w:rsidR="0042163B" w:rsidRDefault="0042163B" w:rsidP="0042163B">
      <w:pPr>
        <w:numPr>
          <w:ilvl w:val="0"/>
          <w:numId w:val="3"/>
        </w:numPr>
      </w:pPr>
      <w:r w:rsidRPr="0042163B">
        <w:t>Deliver a warm induction: introduce the team, tour the workspace, explain key policies (safety, conduct, dress code)</w:t>
      </w:r>
    </w:p>
    <w:p w14:paraId="05402E6C" w14:textId="7EB68395" w:rsidR="00B03077" w:rsidRPr="0042163B" w:rsidRDefault="00AB5D51" w:rsidP="0042163B">
      <w:pPr>
        <w:numPr>
          <w:ilvl w:val="0"/>
          <w:numId w:val="3"/>
        </w:numPr>
      </w:pPr>
      <w:r>
        <w:t>Ensure the supervisor/mentor has regular</w:t>
      </w:r>
      <w:r w:rsidR="00E2136F">
        <w:t xml:space="preserve"> c</w:t>
      </w:r>
      <w:r w:rsidR="00B03077">
        <w:t>heck</w:t>
      </w:r>
      <w:r w:rsidR="00E2136F">
        <w:t>-</w:t>
      </w:r>
      <w:r w:rsidR="00B03077">
        <w:t>in</w:t>
      </w:r>
      <w:r>
        <w:t>s</w:t>
      </w:r>
      <w:r w:rsidR="00B03077">
        <w:t xml:space="preserve"> with student e.g. Mon, Wed &amp; Fri. </w:t>
      </w:r>
    </w:p>
    <w:p w14:paraId="4DB9F14D" w14:textId="77777777" w:rsidR="0042163B" w:rsidRPr="0042163B" w:rsidRDefault="0042163B" w:rsidP="0042163B">
      <w:pPr>
        <w:numPr>
          <w:ilvl w:val="0"/>
          <w:numId w:val="3"/>
        </w:numPr>
      </w:pPr>
      <w:r w:rsidRPr="0042163B">
        <w:lastRenderedPageBreak/>
        <w:t>Cover WHS essentials: PPE use, emergency plans, safe equipment handling, reporting processes</w:t>
      </w:r>
    </w:p>
    <w:p w14:paraId="716AE8F1" w14:textId="704986A3" w:rsidR="0042163B" w:rsidRDefault="0042163B" w:rsidP="0042163B">
      <w:pPr>
        <w:numPr>
          <w:ilvl w:val="0"/>
          <w:numId w:val="3"/>
        </w:numPr>
      </w:pPr>
      <w:r w:rsidRPr="0042163B">
        <w:t xml:space="preserve">Make expectations clear: </w:t>
      </w:r>
      <w:r w:rsidR="0043791B">
        <w:t xml:space="preserve">working </w:t>
      </w:r>
      <w:r w:rsidRPr="0042163B">
        <w:t>hours, acceptable behaviour</w:t>
      </w:r>
      <w:r w:rsidR="0043791B">
        <w:t xml:space="preserve">, </w:t>
      </w:r>
      <w:r w:rsidR="0043791B" w:rsidRPr="004F4B77">
        <w:t>dress code, breaks, parking or transport arrangements, designated contact person, and procedures in case of illness.</w:t>
      </w:r>
    </w:p>
    <w:p w14:paraId="2D775AD1" w14:textId="0B08D2CE" w:rsidR="0042163B" w:rsidRPr="0042163B" w:rsidRDefault="0042163B" w:rsidP="0042163B">
      <w:pPr>
        <w:numPr>
          <w:ilvl w:val="0"/>
          <w:numId w:val="3"/>
        </w:numPr>
      </w:pPr>
      <w:r w:rsidRPr="0042163B">
        <w:t>Provide ongoing guidance, feedback, and encouragement</w:t>
      </w:r>
    </w:p>
    <w:p w14:paraId="56E3C1BE" w14:textId="77777777" w:rsidR="0042163B" w:rsidRDefault="0042163B" w:rsidP="0042163B">
      <w:pPr>
        <w:numPr>
          <w:ilvl w:val="0"/>
          <w:numId w:val="3"/>
        </w:numPr>
      </w:pPr>
      <w:r w:rsidRPr="0042163B">
        <w:t>Adjust tasks or pace based on confidence and ability</w:t>
      </w:r>
    </w:p>
    <w:p w14:paraId="3326621C" w14:textId="77777777" w:rsidR="00E2136F" w:rsidRDefault="00E2136F" w:rsidP="00E2136F"/>
    <w:p w14:paraId="161492C4" w14:textId="77777777" w:rsidR="00AB5D51" w:rsidRDefault="00AB5D51" w:rsidP="00E2136F"/>
    <w:p w14:paraId="7A8C6A3D" w14:textId="6A6A0DE2" w:rsidR="0042163B" w:rsidRPr="00E2136F" w:rsidRDefault="0042163B" w:rsidP="0042163B">
      <w:pPr>
        <w:rPr>
          <w:b/>
          <w:bCs/>
          <w:color w:val="7C9310"/>
        </w:rPr>
      </w:pPr>
      <w:r w:rsidRPr="00E2136F">
        <w:rPr>
          <w:b/>
          <w:bCs/>
          <w:color w:val="7C9310"/>
        </w:rPr>
        <w:t>Communication Tips</w:t>
      </w:r>
      <w:r w:rsidR="00B37374">
        <w:rPr>
          <w:b/>
          <w:bCs/>
          <w:color w:val="7C9310"/>
        </w:rPr>
        <w:t>:</w:t>
      </w:r>
    </w:p>
    <w:p w14:paraId="77D4ACA7" w14:textId="7F2F5B43" w:rsidR="0042163B" w:rsidRPr="0042163B" w:rsidRDefault="0042163B" w:rsidP="0042163B">
      <w:pPr>
        <w:numPr>
          <w:ilvl w:val="0"/>
          <w:numId w:val="4"/>
        </w:numPr>
      </w:pPr>
      <w:r w:rsidRPr="0042163B">
        <w:t>Use simple, direct instructions</w:t>
      </w:r>
      <w:r w:rsidR="00AB5D51">
        <w:t xml:space="preserve"> and check for understanding</w:t>
      </w:r>
    </w:p>
    <w:p w14:paraId="34F084AB" w14:textId="1E050A1C" w:rsidR="0042163B" w:rsidRPr="0042163B" w:rsidRDefault="00B03077" w:rsidP="0042163B">
      <w:pPr>
        <w:numPr>
          <w:ilvl w:val="0"/>
          <w:numId w:val="4"/>
        </w:numPr>
      </w:pPr>
      <w:r>
        <w:t>Ask how they prefer to be taught, d</w:t>
      </w:r>
      <w:r w:rsidR="0042163B" w:rsidRPr="0042163B">
        <w:t>emonstrate tasks, then observe and support the student doing them</w:t>
      </w:r>
    </w:p>
    <w:p w14:paraId="0A1E73A9" w14:textId="77777777" w:rsidR="0042163B" w:rsidRPr="0042163B" w:rsidRDefault="0042163B" w:rsidP="0042163B">
      <w:pPr>
        <w:numPr>
          <w:ilvl w:val="0"/>
          <w:numId w:val="4"/>
        </w:numPr>
      </w:pPr>
      <w:r w:rsidRPr="0042163B">
        <w:t>Be patient – allow time for questions or clarification</w:t>
      </w:r>
    </w:p>
    <w:p w14:paraId="4D47BE36" w14:textId="77777777" w:rsidR="0042163B" w:rsidRPr="0042163B" w:rsidRDefault="0042163B" w:rsidP="0042163B">
      <w:pPr>
        <w:numPr>
          <w:ilvl w:val="0"/>
          <w:numId w:val="4"/>
        </w:numPr>
      </w:pPr>
      <w:r w:rsidRPr="0042163B">
        <w:t>Provide visual aids or written instructions where helpful</w:t>
      </w:r>
    </w:p>
    <w:p w14:paraId="5458F0B6" w14:textId="77777777" w:rsidR="0042163B" w:rsidRDefault="0042163B" w:rsidP="0042163B">
      <w:pPr>
        <w:numPr>
          <w:ilvl w:val="0"/>
          <w:numId w:val="4"/>
        </w:numPr>
      </w:pPr>
      <w:r w:rsidRPr="0042163B">
        <w:t>Include the student in team activities and conversations</w:t>
      </w:r>
    </w:p>
    <w:p w14:paraId="40697D4B" w14:textId="172B5AD3" w:rsidR="00905D2D" w:rsidRPr="0043791B" w:rsidRDefault="00905D2D" w:rsidP="0042163B">
      <w:pPr>
        <w:numPr>
          <w:ilvl w:val="0"/>
          <w:numId w:val="4"/>
        </w:numPr>
      </w:pPr>
      <w:r w:rsidRPr="0043791B">
        <w:t>Don’t assume they regularly check or read email</w:t>
      </w:r>
    </w:p>
    <w:p w14:paraId="4611D383" w14:textId="69BBB62A" w:rsidR="00905D2D" w:rsidRPr="0043791B" w:rsidRDefault="00905D2D" w:rsidP="0042163B">
      <w:pPr>
        <w:numPr>
          <w:ilvl w:val="0"/>
          <w:numId w:val="4"/>
        </w:numPr>
      </w:pPr>
      <w:r w:rsidRPr="0043791B">
        <w:t>Be clear about expectation re communication and what’s acceptable / required in the workplace</w:t>
      </w:r>
    </w:p>
    <w:p w14:paraId="0B694B2A" w14:textId="77777777" w:rsidR="00905D2D" w:rsidRPr="0042163B" w:rsidRDefault="00905D2D" w:rsidP="00905D2D"/>
    <w:p w14:paraId="731760D0" w14:textId="01A381F4" w:rsidR="0042163B" w:rsidRPr="00E2136F" w:rsidRDefault="0042163B" w:rsidP="0042163B">
      <w:pPr>
        <w:rPr>
          <w:b/>
          <w:bCs/>
          <w:color w:val="7C9310"/>
        </w:rPr>
      </w:pPr>
      <w:r w:rsidRPr="00E2136F">
        <w:rPr>
          <w:b/>
          <w:bCs/>
          <w:color w:val="7C9310"/>
        </w:rPr>
        <w:t>After the Placement</w:t>
      </w:r>
      <w:r w:rsidR="00B37374">
        <w:rPr>
          <w:b/>
          <w:bCs/>
          <w:color w:val="7C9310"/>
        </w:rPr>
        <w:t>:</w:t>
      </w:r>
    </w:p>
    <w:p w14:paraId="62E9FE93" w14:textId="77777777" w:rsidR="0042163B" w:rsidRPr="0042163B" w:rsidRDefault="0042163B" w:rsidP="0042163B">
      <w:pPr>
        <w:numPr>
          <w:ilvl w:val="0"/>
          <w:numId w:val="5"/>
        </w:numPr>
      </w:pPr>
      <w:r w:rsidRPr="0042163B">
        <w:t>Reflect with the student on what they learned and enjoyed</w:t>
      </w:r>
    </w:p>
    <w:p w14:paraId="45D846B6" w14:textId="48F451EA" w:rsidR="0042163B" w:rsidRPr="0042163B" w:rsidRDefault="0042163B" w:rsidP="0042163B">
      <w:pPr>
        <w:numPr>
          <w:ilvl w:val="0"/>
          <w:numId w:val="5"/>
        </w:numPr>
      </w:pPr>
      <w:r w:rsidRPr="0042163B">
        <w:t>Complete any paperwork or feedback forms from the school</w:t>
      </w:r>
      <w:r w:rsidR="008403A0">
        <w:t xml:space="preserve"> or provider</w:t>
      </w:r>
    </w:p>
    <w:p w14:paraId="151D90E2" w14:textId="43295A3C" w:rsidR="0042163B" w:rsidRPr="0042163B" w:rsidRDefault="0042163B" w:rsidP="0042163B">
      <w:pPr>
        <w:numPr>
          <w:ilvl w:val="0"/>
          <w:numId w:val="5"/>
        </w:numPr>
      </w:pPr>
      <w:r w:rsidRPr="0042163B">
        <w:t>Let the school</w:t>
      </w:r>
      <w:r w:rsidR="008403A0">
        <w:t xml:space="preserve"> or provider</w:t>
      </w:r>
      <w:r w:rsidRPr="0042163B">
        <w:t xml:space="preserve"> know if you’d consider hosting again</w:t>
      </w:r>
    </w:p>
    <w:p w14:paraId="2A4BDCA2" w14:textId="77777777" w:rsidR="0042163B" w:rsidRDefault="0042163B" w:rsidP="0042163B">
      <w:pPr>
        <w:numPr>
          <w:ilvl w:val="0"/>
          <w:numId w:val="5"/>
        </w:numPr>
      </w:pPr>
      <w:r w:rsidRPr="0042163B">
        <w:t>Share what worked well and any suggested improvements</w:t>
      </w:r>
    </w:p>
    <w:p w14:paraId="004F33A9" w14:textId="31797704" w:rsidR="00254C5A" w:rsidRDefault="00254C5A" w:rsidP="0042163B">
      <w:pPr>
        <w:numPr>
          <w:ilvl w:val="0"/>
          <w:numId w:val="5"/>
        </w:numPr>
      </w:pPr>
      <w:r w:rsidRPr="0043791B">
        <w:t>Employer to provide reference details for the young person to add to their CV, if willing</w:t>
      </w:r>
    </w:p>
    <w:p w14:paraId="16ABFDA0" w14:textId="1DEE0F87" w:rsidR="008403A0" w:rsidRPr="0043791B" w:rsidRDefault="008403A0" w:rsidP="008403A0">
      <w:pPr>
        <w:numPr>
          <w:ilvl w:val="0"/>
          <w:numId w:val="5"/>
        </w:numPr>
      </w:pPr>
      <w:r>
        <w:t xml:space="preserve">Provide honest feedback to the student and discuss areas of improvement </w:t>
      </w:r>
    </w:p>
    <w:p w14:paraId="3B5C04F9" w14:textId="78BD21DD" w:rsidR="0042163B" w:rsidRPr="00E2136F" w:rsidRDefault="0042163B" w:rsidP="0042163B">
      <w:pPr>
        <w:rPr>
          <w:b/>
          <w:bCs/>
          <w:color w:val="7C9310"/>
        </w:rPr>
      </w:pPr>
      <w:r w:rsidRPr="00E2136F">
        <w:rPr>
          <w:b/>
          <w:bCs/>
          <w:color w:val="7C9310"/>
        </w:rPr>
        <w:t>Benefits to Employers</w:t>
      </w:r>
      <w:r w:rsidR="00B37374">
        <w:rPr>
          <w:b/>
          <w:bCs/>
          <w:color w:val="7C9310"/>
        </w:rPr>
        <w:t>:</w:t>
      </w:r>
    </w:p>
    <w:p w14:paraId="5437A14B" w14:textId="77777777" w:rsidR="0042163B" w:rsidRPr="0042163B" w:rsidRDefault="0042163B" w:rsidP="0042163B">
      <w:pPr>
        <w:numPr>
          <w:ilvl w:val="0"/>
          <w:numId w:val="6"/>
        </w:numPr>
      </w:pPr>
      <w:r w:rsidRPr="0042163B">
        <w:t>Develop your staff’s mentoring and coaching skills</w:t>
      </w:r>
    </w:p>
    <w:p w14:paraId="7533961B" w14:textId="77777777" w:rsidR="0042163B" w:rsidRPr="0042163B" w:rsidRDefault="0042163B" w:rsidP="0042163B">
      <w:pPr>
        <w:numPr>
          <w:ilvl w:val="0"/>
          <w:numId w:val="6"/>
        </w:numPr>
      </w:pPr>
      <w:r w:rsidRPr="0042163B">
        <w:t>Build links with schools and the local community</w:t>
      </w:r>
    </w:p>
    <w:p w14:paraId="57127E2C" w14:textId="77777777" w:rsidR="0042163B" w:rsidRPr="0042163B" w:rsidRDefault="0042163B" w:rsidP="0042163B">
      <w:pPr>
        <w:numPr>
          <w:ilvl w:val="0"/>
          <w:numId w:val="6"/>
        </w:numPr>
      </w:pPr>
      <w:r w:rsidRPr="0042163B">
        <w:t>Access emerging talent and promote your industry</w:t>
      </w:r>
    </w:p>
    <w:p w14:paraId="7B7F3B44" w14:textId="77777777" w:rsidR="0042163B" w:rsidRPr="0042163B" w:rsidRDefault="0042163B" w:rsidP="0042163B">
      <w:pPr>
        <w:numPr>
          <w:ilvl w:val="0"/>
          <w:numId w:val="6"/>
        </w:numPr>
      </w:pPr>
      <w:r w:rsidRPr="0042163B">
        <w:t>Increase workplace diversity and inclusion</w:t>
      </w:r>
    </w:p>
    <w:p w14:paraId="2884D231" w14:textId="77777777" w:rsidR="00A05CD8" w:rsidRDefault="00A05CD8"/>
    <w:sectPr w:rsidR="00A05C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972B" w14:textId="77777777" w:rsidR="00845903" w:rsidRDefault="00845903" w:rsidP="005A6EE9">
      <w:pPr>
        <w:spacing w:after="0" w:line="240" w:lineRule="auto"/>
      </w:pPr>
      <w:r>
        <w:separator/>
      </w:r>
    </w:p>
  </w:endnote>
  <w:endnote w:type="continuationSeparator" w:id="0">
    <w:p w14:paraId="16D93270" w14:textId="77777777" w:rsidR="00845903" w:rsidRDefault="00845903" w:rsidP="005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810E" w14:textId="0DA21820" w:rsidR="005A6EE9" w:rsidRDefault="000F095A">
    <w:pPr>
      <w:pStyle w:val="Footer"/>
    </w:pPr>
    <w:r w:rsidRPr="000F095A">
      <w:rPr>
        <w:noProof/>
      </w:rPr>
      <w:drawing>
        <wp:anchor distT="0" distB="0" distL="114300" distR="114300" simplePos="0" relativeHeight="251663360" behindDoc="0" locked="0" layoutInCell="1" allowOverlap="1" wp14:anchorId="0560A641" wp14:editId="279CE5A4">
          <wp:simplePos x="0" y="0"/>
          <wp:positionH relativeFrom="page">
            <wp:posOffset>5541010</wp:posOffset>
          </wp:positionH>
          <wp:positionV relativeFrom="paragraph">
            <wp:posOffset>-320040</wp:posOffset>
          </wp:positionV>
          <wp:extent cx="2000250" cy="974725"/>
          <wp:effectExtent l="0" t="0" r="0" b="0"/>
          <wp:wrapSquare wrapText="bothSides"/>
          <wp:docPr id="816467638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67638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A30E" w14:textId="77777777" w:rsidR="00845903" w:rsidRDefault="00845903" w:rsidP="005A6EE9">
      <w:pPr>
        <w:spacing w:after="0" w:line="240" w:lineRule="auto"/>
      </w:pPr>
      <w:r>
        <w:separator/>
      </w:r>
    </w:p>
  </w:footnote>
  <w:footnote w:type="continuationSeparator" w:id="0">
    <w:p w14:paraId="0A738C90" w14:textId="77777777" w:rsidR="00845903" w:rsidRDefault="00845903" w:rsidP="005A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EB31" w14:textId="3E0D4285" w:rsidR="005A6EE9" w:rsidRDefault="000F095A">
    <w:pPr>
      <w:pStyle w:val="Header"/>
    </w:pPr>
    <w:r w:rsidRPr="005A6EE9">
      <w:rPr>
        <w:noProof/>
      </w:rPr>
      <w:drawing>
        <wp:anchor distT="0" distB="0" distL="114300" distR="114300" simplePos="0" relativeHeight="251660288" behindDoc="0" locked="0" layoutInCell="1" allowOverlap="1" wp14:anchorId="344BC908" wp14:editId="0F00B948">
          <wp:simplePos x="0" y="0"/>
          <wp:positionH relativeFrom="page">
            <wp:posOffset>28575</wp:posOffset>
          </wp:positionH>
          <wp:positionV relativeFrom="paragraph">
            <wp:posOffset>-314960</wp:posOffset>
          </wp:positionV>
          <wp:extent cx="1933574" cy="693168"/>
          <wp:effectExtent l="0" t="0" r="0" b="0"/>
          <wp:wrapSquare wrapText="bothSides"/>
          <wp:docPr id="1100071273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71273" name="Picture 1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4" cy="69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BAD"/>
    <w:multiLevelType w:val="multilevel"/>
    <w:tmpl w:val="25AE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C931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865EA"/>
    <w:multiLevelType w:val="multilevel"/>
    <w:tmpl w:val="E19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C931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50340"/>
    <w:multiLevelType w:val="multilevel"/>
    <w:tmpl w:val="0D66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C931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C72FD"/>
    <w:multiLevelType w:val="multilevel"/>
    <w:tmpl w:val="E9F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C931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A5F88"/>
    <w:multiLevelType w:val="multilevel"/>
    <w:tmpl w:val="B05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C931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C51CE"/>
    <w:multiLevelType w:val="multilevel"/>
    <w:tmpl w:val="567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C931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7674">
    <w:abstractNumId w:val="5"/>
  </w:num>
  <w:num w:numId="2" w16cid:durableId="844897728">
    <w:abstractNumId w:val="3"/>
  </w:num>
  <w:num w:numId="3" w16cid:durableId="2038701724">
    <w:abstractNumId w:val="0"/>
  </w:num>
  <w:num w:numId="4" w16cid:durableId="1576210013">
    <w:abstractNumId w:val="1"/>
  </w:num>
  <w:num w:numId="5" w16cid:durableId="586496039">
    <w:abstractNumId w:val="2"/>
  </w:num>
  <w:num w:numId="6" w16cid:durableId="1521427713">
    <w:abstractNumId w:val="4"/>
  </w:num>
  <w:num w:numId="7" w16cid:durableId="114250327">
    <w:abstractNumId w:val="5"/>
  </w:num>
  <w:num w:numId="8" w16cid:durableId="114786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3B"/>
    <w:rsid w:val="000B213C"/>
    <w:rsid w:val="000F095A"/>
    <w:rsid w:val="0017718A"/>
    <w:rsid w:val="00180A73"/>
    <w:rsid w:val="00254C5A"/>
    <w:rsid w:val="003263AF"/>
    <w:rsid w:val="00334E1B"/>
    <w:rsid w:val="0042163B"/>
    <w:rsid w:val="00427377"/>
    <w:rsid w:val="0043791B"/>
    <w:rsid w:val="00442F98"/>
    <w:rsid w:val="004B56AC"/>
    <w:rsid w:val="00505EFC"/>
    <w:rsid w:val="005215DF"/>
    <w:rsid w:val="0053251E"/>
    <w:rsid w:val="005648B0"/>
    <w:rsid w:val="005A6EE9"/>
    <w:rsid w:val="00640200"/>
    <w:rsid w:val="00664A9A"/>
    <w:rsid w:val="00730B3D"/>
    <w:rsid w:val="008403A0"/>
    <w:rsid w:val="00845903"/>
    <w:rsid w:val="00905D2D"/>
    <w:rsid w:val="00A05CD8"/>
    <w:rsid w:val="00A41E0F"/>
    <w:rsid w:val="00A87851"/>
    <w:rsid w:val="00AB5D51"/>
    <w:rsid w:val="00B03077"/>
    <w:rsid w:val="00B22D60"/>
    <w:rsid w:val="00B37374"/>
    <w:rsid w:val="00B766A4"/>
    <w:rsid w:val="00CB3A4C"/>
    <w:rsid w:val="00D0021A"/>
    <w:rsid w:val="00D0177A"/>
    <w:rsid w:val="00E2136F"/>
    <w:rsid w:val="00EB6D5E"/>
    <w:rsid w:val="00F473A9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C8182"/>
  <w15:chartTrackingRefBased/>
  <w15:docId w15:val="{BFFA76FC-58D5-4C54-8DA7-DDC0498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 Light" w:eastAsiaTheme="minorHAnsi" w:hAnsi="Ubuntu Light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6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6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6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6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6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6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6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6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63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0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0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E9"/>
  </w:style>
  <w:style w:type="paragraph" w:styleId="Footer">
    <w:name w:val="footer"/>
    <w:basedOn w:val="Normal"/>
    <w:link w:val="FooterChar"/>
    <w:uiPriority w:val="99"/>
    <w:unhideWhenUsed/>
    <w:rsid w:val="005A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E9"/>
  </w:style>
  <w:style w:type="paragraph" w:styleId="NormalWeb">
    <w:name w:val="Normal (Web)"/>
    <w:basedOn w:val="Normal"/>
    <w:uiPriority w:val="99"/>
    <w:unhideWhenUsed/>
    <w:rsid w:val="0043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4379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7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t.gov.au/emergency/child-safety/working-with-children-clearance-before-you-apply/people-who-do-not-need-clear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508</Words>
  <Characters>2960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Barton</dc:creator>
  <cp:keywords/>
  <dc:description/>
  <cp:lastModifiedBy>Niccolo Maffezzoni</cp:lastModifiedBy>
  <cp:revision>12</cp:revision>
  <dcterms:created xsi:type="dcterms:W3CDTF">2025-09-08T03:08:00Z</dcterms:created>
  <dcterms:modified xsi:type="dcterms:W3CDTF">2025-12-19T02:31:00Z</dcterms:modified>
</cp:coreProperties>
</file>